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716E709E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bookmarkStart w:id="0" w:name="_GoBack"/>
      <w:bookmarkEnd w:id="0"/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1E6F3AF8" w:rsidR="00DD5201" w:rsidRPr="00AA5032" w:rsidRDefault="00AA5032" w:rsidP="00AA5032">
                  <w:pPr>
                    <w:tabs>
                      <w:tab w:val="left" w:pos="270"/>
                    </w:tabs>
                    <w:spacing w:after="0" w:line="240" w:lineRule="auto"/>
                    <w:ind w:left="284"/>
                    <w:jc w:val="center"/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</w:pPr>
                  <w:r w:rsidRPr="00CD6FFA">
                    <w:rPr>
                      <w:rFonts w:ascii="Sylfaen" w:eastAsia="Sylfaen" w:hAnsi="Sylfaen" w:cs="Sylfaen"/>
                      <w:sz w:val="20"/>
                      <w:szCs w:val="20"/>
                      <w:lang w:val="ka-GE"/>
                    </w:rPr>
                    <w:t>საბაზო პროფესიული კვალიფიკაცია სამშენებლო კონსტრუქციების მოწყობაში</w:t>
                  </w:r>
                  <w:r>
                    <w:rPr>
                      <w:rFonts w:ascii="Sylfaen" w:eastAsia="Sylfaen" w:hAnsi="Sylfaen" w:cs="Sylfaen"/>
                      <w:sz w:val="20"/>
                      <w:szCs w:val="20"/>
                      <w:lang w:val="en-US"/>
                    </w:rPr>
                    <w:t xml:space="preserve">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3D3424F6" w:rsidR="00DD5201" w:rsidRPr="00335572" w:rsidRDefault="00AA5032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Basic</w:t>
                  </w:r>
                  <w:r w:rsidRPr="00CD6FFA">
                    <w:rPr>
                      <w:rFonts w:ascii="Sylfaen" w:eastAsia="Sylfaen" w:hAnsi="Sylfaen" w:cs="Sylfaen"/>
                      <w:lang w:val="ka-GE"/>
                    </w:rPr>
                    <w:t xml:space="preserve"> Vocational Qualification in Building Construction Structures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7ED058C5" w14:textId="77777777" w:rsidR="001572FB" w:rsidRPr="00CD6FFA" w:rsidRDefault="001572FB" w:rsidP="001572FB">
                  <w:pPr>
                    <w:pStyle w:val="ListParagraph"/>
                    <w:numPr>
                      <w:ilvl w:val="0"/>
                      <w:numId w:val="41"/>
                    </w:numPr>
                    <w:spacing w:after="160"/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D6FFA">
                    <w:rPr>
                      <w:rFonts w:ascii="Sylfaen" w:eastAsia="Sylfaen" w:hAnsi="Sylfaen" w:cs="Sylfaen"/>
                      <w:bCs/>
                      <w:lang w:val="ka-GE"/>
                    </w:rPr>
                    <w:t>მოაწყოს ბურულის საფუძველი და ფენილი</w:t>
                  </w:r>
                </w:p>
                <w:p w14:paraId="19EA84F7" w14:textId="77777777" w:rsidR="001572FB" w:rsidRPr="00CD6FFA" w:rsidRDefault="001572FB" w:rsidP="001572FB">
                  <w:pPr>
                    <w:pStyle w:val="ListParagraph"/>
                    <w:numPr>
                      <w:ilvl w:val="0"/>
                      <w:numId w:val="41"/>
                    </w:numPr>
                    <w:spacing w:after="160"/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D6FFA">
                    <w:rPr>
                      <w:rFonts w:ascii="Sylfaen" w:eastAsia="Sylfaen" w:hAnsi="Sylfaen" w:cs="Sylfaen"/>
                      <w:bCs/>
                      <w:lang w:val="ka-GE"/>
                    </w:rPr>
                    <w:t>მოამზადოს ზედაპირი რულონის დასაგებად</w:t>
                  </w:r>
                </w:p>
                <w:p w14:paraId="54FBB3E6" w14:textId="77777777" w:rsidR="001572FB" w:rsidRPr="00CD6FFA" w:rsidRDefault="001572FB" w:rsidP="001572FB">
                  <w:pPr>
                    <w:pStyle w:val="ListParagraph"/>
                    <w:numPr>
                      <w:ilvl w:val="0"/>
                      <w:numId w:val="41"/>
                    </w:numPr>
                    <w:spacing w:after="160"/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D6FFA">
                    <w:rPr>
                      <w:rFonts w:ascii="Sylfaen" w:eastAsia="Sylfaen" w:hAnsi="Sylfaen" w:cs="Sylfaen"/>
                      <w:lang w:val="ka-GE"/>
                    </w:rPr>
                    <w:t>შეასრულოს რბილი რულონური გადახურვების მოწყობა</w:t>
                  </w:r>
                </w:p>
                <w:p w14:paraId="573152EC" w14:textId="77777777" w:rsidR="001572FB" w:rsidRPr="00CD6FFA" w:rsidRDefault="001572FB" w:rsidP="001572FB">
                  <w:pPr>
                    <w:pStyle w:val="ListParagraph"/>
                    <w:numPr>
                      <w:ilvl w:val="0"/>
                      <w:numId w:val="41"/>
                    </w:numPr>
                    <w:spacing w:after="160"/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Arial"/>
                      <w:lang w:val="ka-GE"/>
                    </w:rPr>
                    <w:t>შეასრულოს ბიტუმოვანი რულონის დაგება</w:t>
                  </w:r>
                </w:p>
                <w:p w14:paraId="1A4715CF" w14:textId="77777777" w:rsidR="001572FB" w:rsidRPr="00CD6FFA" w:rsidRDefault="001572FB" w:rsidP="001572FB">
                  <w:pPr>
                    <w:pStyle w:val="ListParagraph"/>
                    <w:numPr>
                      <w:ilvl w:val="0"/>
                      <w:numId w:val="41"/>
                    </w:numPr>
                    <w:spacing w:after="160"/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Arial"/>
                      <w:lang w:val="ka-GE"/>
                    </w:rPr>
                    <w:t>განახორციელოს ცემენტ-ქვიშის დუღაბის</w:t>
                  </w:r>
                  <w:r w:rsidRPr="00CD6FFA">
                    <w:rPr>
                      <w:rFonts w:ascii="Sylfaen" w:hAnsi="Sylfaen" w:cs="Sylfaen"/>
                      <w:bCs/>
                      <w:color w:val="000000"/>
                      <w:lang w:val="ka-GE"/>
                    </w:rPr>
                    <w:t xml:space="preserve">  დასხმა სახურავზე</w:t>
                  </w:r>
                </w:p>
                <w:p w14:paraId="341C5328" w14:textId="77777777" w:rsidR="001572FB" w:rsidRPr="00CD6FFA" w:rsidRDefault="001572FB" w:rsidP="001572FB">
                  <w:pPr>
                    <w:pStyle w:val="ListParagraph"/>
                    <w:numPr>
                      <w:ilvl w:val="0"/>
                      <w:numId w:val="41"/>
                    </w:numPr>
                    <w:spacing w:after="160"/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D6FFA">
                    <w:rPr>
                      <w:rFonts w:ascii="Sylfaen" w:eastAsia="Sylfaen" w:hAnsi="Sylfaen" w:cs="Sylfaen"/>
                      <w:lang w:val="ka-GE"/>
                    </w:rPr>
                    <w:t xml:space="preserve">შეასრულოს პროფილირებული და ფურცლოვანი თუნუქის სახურავის  მოწყობა </w:t>
                  </w:r>
                  <w:r w:rsidRPr="00CD6FFA">
                    <w:rPr>
                      <w:rFonts w:ascii="Sylfaen" w:hAnsi="Sylfaen" w:cs="Sylfaen"/>
                      <w:bCs/>
                      <w:lang w:val="ka-GE"/>
                    </w:rPr>
                    <w:t>უსაფრთხოების ნორმების დაცვით</w:t>
                  </w:r>
                </w:p>
                <w:p w14:paraId="3DAEFEC5" w14:textId="77777777" w:rsidR="001572FB" w:rsidRPr="00CD6FFA" w:rsidRDefault="001572FB" w:rsidP="001572FB">
                  <w:pPr>
                    <w:pStyle w:val="ListParagraph"/>
                    <w:numPr>
                      <w:ilvl w:val="0"/>
                      <w:numId w:val="41"/>
                    </w:numPr>
                    <w:spacing w:after="160"/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D6FFA">
                    <w:rPr>
                      <w:rFonts w:ascii="Sylfaen" w:eastAsia="Sylfaen" w:hAnsi="Sylfaen" w:cs="Sylfaen"/>
                      <w:lang w:val="ka-GE"/>
                    </w:rPr>
                    <w:t xml:space="preserve">შეასრულოს პროფილირებული და ფურცლოვანი თუნუქის სახურავის  </w:t>
                  </w:r>
                  <w:r w:rsidRPr="00CD6FFA">
                    <w:rPr>
                      <w:rFonts w:ascii="Sylfaen" w:hAnsi="Sylfaen"/>
                      <w:bCs/>
                      <w:lang w:val="ka-GE"/>
                    </w:rPr>
                    <w:t>სარემონტო სამუშაოები</w:t>
                  </w:r>
                </w:p>
                <w:p w14:paraId="7D70B237" w14:textId="77777777" w:rsidR="001572FB" w:rsidRPr="00CD6FFA" w:rsidRDefault="001572FB" w:rsidP="001572FB">
                  <w:pPr>
                    <w:pStyle w:val="ListParagraph"/>
                    <w:numPr>
                      <w:ilvl w:val="0"/>
                      <w:numId w:val="41"/>
                    </w:numPr>
                    <w:spacing w:after="160"/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D6FFA">
                    <w:rPr>
                      <w:rFonts w:ascii="Sylfaen" w:eastAsia="Sylfaen" w:hAnsi="Sylfaen" w:cs="Sylfaen"/>
                      <w:lang w:val="ka-GE"/>
                    </w:rPr>
                    <w:t>მოაწყოს ჭერი ხის ძელებით</w:t>
                  </w:r>
                </w:p>
                <w:p w14:paraId="6771E256" w14:textId="77777777" w:rsidR="001572FB" w:rsidRPr="00CD6FFA" w:rsidRDefault="001572FB" w:rsidP="001572FB">
                  <w:pPr>
                    <w:pStyle w:val="ListParagraph"/>
                    <w:numPr>
                      <w:ilvl w:val="0"/>
                      <w:numId w:val="41"/>
                    </w:numPr>
                    <w:spacing w:after="160"/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D6FFA">
                    <w:rPr>
                      <w:rFonts w:ascii="Sylfaen" w:eastAsia="Sylfaen" w:hAnsi="Sylfaen" w:cs="Sylfaen"/>
                      <w:bCs/>
                      <w:lang w:val="ka-GE"/>
                    </w:rPr>
                    <w:t>მოაწყო ერთნაირი და სხვადასხვა დახრილობის ოთხწახნაგა მარტივი და  კომბინირებული  სახურავის კონსტრუქციები ხის მასალისგან</w:t>
                  </w:r>
                </w:p>
                <w:p w14:paraId="64CBE166" w14:textId="6B02AE56" w:rsidR="00DD5201" w:rsidRPr="001572FB" w:rsidRDefault="001572FB" w:rsidP="001572FB">
                  <w:pPr>
                    <w:pStyle w:val="ListParagraph"/>
                    <w:numPr>
                      <w:ilvl w:val="0"/>
                      <w:numId w:val="41"/>
                    </w:numPr>
                    <w:spacing w:after="160"/>
                    <w:jc w:val="both"/>
                    <w:rPr>
                      <w:rFonts w:ascii="Sylfaen" w:eastAsia="Sylfaen" w:hAnsi="Sylfaen" w:cs="Sylfaen"/>
                      <w:lang w:val="ka-GE"/>
                    </w:rPr>
                  </w:pPr>
                  <w:r w:rsidRPr="00CD6FFA">
                    <w:rPr>
                      <w:rFonts w:ascii="Sylfaen" w:eastAsia="Sylfaen" w:hAnsi="Sylfaen" w:cs="Sylfaen"/>
                      <w:lang w:val="ka-GE"/>
                    </w:rPr>
                    <w:t>შეასრულოს საიზოლაციო სამუშაოები გადახურვისას.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57D7A891" w14:textId="77777777" w:rsidR="001572FB" w:rsidRPr="001572FB" w:rsidRDefault="001572FB" w:rsidP="00AA5032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CD6FFA">
                    <w:rPr>
                      <w:rFonts w:ascii="Sylfaen" w:eastAsia="Sylfaen" w:hAnsi="Sylfaen" w:cs="Sylfaen"/>
                      <w:lang w:val="ka-GE"/>
                    </w:rPr>
                    <w:t xml:space="preserve">რბილი რულონური გადახურვების მომწყობი; </w:t>
                  </w:r>
                </w:p>
                <w:p w14:paraId="1F6BC631" w14:textId="7A2AD26D" w:rsidR="00DD5201" w:rsidRPr="00AA5032" w:rsidRDefault="001572FB" w:rsidP="00AA5032">
                  <w:pPr>
                    <w:pStyle w:val="ListParagraph"/>
                    <w:numPr>
                      <w:ilvl w:val="0"/>
                      <w:numId w:val="37"/>
                    </w:numPr>
                    <w:jc w:val="both"/>
                    <w:rPr>
                      <w:rFonts w:ascii="Sylfaen" w:hAnsi="Sylfaen"/>
                      <w:bCs/>
                      <w:lang w:val="ka-GE"/>
                    </w:rPr>
                  </w:pPr>
                  <w:r w:rsidRPr="00CD6FFA">
                    <w:rPr>
                      <w:rFonts w:ascii="Sylfaen" w:eastAsia="Sylfaen" w:hAnsi="Sylfaen" w:cs="Sylfaen"/>
                      <w:lang w:val="ka-GE"/>
                    </w:rPr>
                    <w:t>პროფილირებული და ფურცლოვანი თუნუქის სახურავის მომწყობი;</w:t>
                  </w:r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8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9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744DF2B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- </w:t>
                  </w:r>
                  <w:r w:rsidR="001814FF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მესამე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50CA036B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1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- დონე </w:t>
                  </w:r>
                  <w:r w:rsidR="001814FF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</w:t>
                  </w: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77777777" w:rsidR="006A095B" w:rsidRPr="00335572" w:rsidRDefault="006A095B" w:rsidP="00DD04A2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4C2492C4" w14:textId="77777777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21F5986" w14:textId="10BCF27D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1B5E43BA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იატაკის მომწყობი;</w:t>
                  </w:r>
                </w:p>
                <w:p w14:paraId="0A59094B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მებათქაშე;</w:t>
                  </w:r>
                </w:p>
                <w:p w14:paraId="14C64A1B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თაბაშირ-მუყაოს კონსტრუქციების მემონტაჟე;</w:t>
                  </w:r>
                </w:p>
                <w:p w14:paraId="1615A8B5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რკინაბეტონის სამუშაოთა შემსრულებელი (მეყალიბე, მეარმატურე, მებეტონე);</w:t>
                  </w:r>
                </w:p>
                <w:p w14:paraId="57F5D263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სამშენებლო კონსტრუქციების მემონტაჟე;</w:t>
                  </w:r>
                </w:p>
                <w:p w14:paraId="0C95075F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კალატოზი;</w:t>
                  </w:r>
                </w:p>
                <w:p w14:paraId="4C486E19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ფილამწყობი;</w:t>
                  </w:r>
                </w:p>
                <w:p w14:paraId="11B4A3D4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  <w:tab w:val="left" w:pos="4590"/>
                      <w:tab w:val="left" w:pos="5130"/>
                      <w:tab w:val="left" w:pos="5400"/>
                    </w:tabs>
                    <w:rPr>
                      <w:rFonts w:ascii="Sylfaen" w:hAnsi="Sylfaen"/>
                      <w:b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 xml:space="preserve">მღებავი; </w:t>
                  </w:r>
                </w:p>
                <w:p w14:paraId="59FDC153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  <w:tab w:val="left" w:pos="4590"/>
                      <w:tab w:val="left" w:pos="5130"/>
                      <w:tab w:val="left" w:pos="5400"/>
                    </w:tabs>
                    <w:rPr>
                      <w:rFonts w:ascii="Sylfaen" w:hAnsi="Sylfaen"/>
                      <w:b/>
                      <w:lang w:val="ka-GE"/>
                    </w:rPr>
                  </w:pPr>
                  <w:r w:rsidRPr="00CD6FFA">
                    <w:rPr>
                      <w:rFonts w:ascii="Sylfaen" w:hAnsi="Sylfaen" w:cs="Sylfaen"/>
                      <w:lang w:val="ka-GE"/>
                    </w:rPr>
                    <w:t>დურგალი;</w:t>
                  </w:r>
                </w:p>
                <w:p w14:paraId="76EE67AA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/>
                      <w:lang w:val="ka-GE"/>
                    </w:rPr>
                  </w:pPr>
                  <w:r w:rsidRPr="00CD6FFA">
                    <w:rPr>
                      <w:rFonts w:ascii="Sylfaen" w:hAnsi="Sylfaen"/>
                      <w:lang w:val="ka-GE"/>
                    </w:rPr>
                    <w:t xml:space="preserve">პროფილირებული და ფურცლოვანი თუნუქის სახურავის  მომწყობი; </w:t>
                  </w:r>
                </w:p>
                <w:p w14:paraId="330BCEC8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/>
                      <w:lang w:val="ka-GE"/>
                    </w:rPr>
                  </w:pPr>
                  <w:r w:rsidRPr="00CD6FFA">
                    <w:rPr>
                      <w:rFonts w:ascii="Sylfaen" w:hAnsi="Sylfaen"/>
                      <w:lang w:val="ka-GE"/>
                    </w:rPr>
                    <w:t xml:space="preserve">რბილი რულონური გადახურვის სპეციალისტი; </w:t>
                  </w:r>
                </w:p>
                <w:p w14:paraId="6708A964" w14:textId="77777777" w:rsidR="001814FF" w:rsidRPr="00CD6FFA" w:rsidRDefault="001814FF" w:rsidP="001814FF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540"/>
                    </w:tabs>
                    <w:rPr>
                      <w:rFonts w:ascii="Sylfaen" w:hAnsi="Sylfaen" w:cs="Sylfaen"/>
                      <w:lang w:val="ka-GE"/>
                    </w:rPr>
                  </w:pPr>
                  <w:r w:rsidRPr="00CD6FFA">
                    <w:rPr>
                      <w:rFonts w:ascii="Sylfaen" w:hAnsi="Sylfaen"/>
                      <w:lang w:val="ka-GE"/>
                    </w:rPr>
                    <w:t>მეტალოპლასტმასისა და ალუმინის კარ-ფანჯრების დამამზადებელი - მემონტაჟე.</w:t>
                  </w:r>
                </w:p>
                <w:p w14:paraId="5DF02A21" w14:textId="70F201CD" w:rsidR="0037551B" w:rsidRPr="00335572" w:rsidRDefault="0037551B" w:rsidP="001814F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ind w:left="720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1A657A84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1814FF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საბაზო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განათლება</w:t>
                  </w: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0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1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417F5"/>
    <w:multiLevelType w:val="hybridMultilevel"/>
    <w:tmpl w:val="6A98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67D13"/>
    <w:multiLevelType w:val="hybridMultilevel"/>
    <w:tmpl w:val="32788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D15B7F"/>
    <w:multiLevelType w:val="hybridMultilevel"/>
    <w:tmpl w:val="9E76B2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3A63C7E"/>
    <w:multiLevelType w:val="hybridMultilevel"/>
    <w:tmpl w:val="9E76B2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1" w15:restartNumberingAfterBreak="0">
    <w:nsid w:val="652510F1"/>
    <w:multiLevelType w:val="hybridMultilevel"/>
    <w:tmpl w:val="9E76B2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81866"/>
    <w:multiLevelType w:val="hybridMultilevel"/>
    <w:tmpl w:val="851AA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6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E4430"/>
    <w:multiLevelType w:val="hybridMultilevel"/>
    <w:tmpl w:val="47DC3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34"/>
  </w:num>
  <w:num w:numId="4">
    <w:abstractNumId w:val="35"/>
  </w:num>
  <w:num w:numId="5">
    <w:abstractNumId w:val="17"/>
  </w:num>
  <w:num w:numId="6">
    <w:abstractNumId w:val="0"/>
  </w:num>
  <w:num w:numId="7">
    <w:abstractNumId w:val="1"/>
  </w:num>
  <w:num w:numId="8">
    <w:abstractNumId w:val="36"/>
  </w:num>
  <w:num w:numId="9">
    <w:abstractNumId w:val="20"/>
  </w:num>
  <w:num w:numId="10">
    <w:abstractNumId w:val="12"/>
  </w:num>
  <w:num w:numId="11">
    <w:abstractNumId w:val="41"/>
  </w:num>
  <w:num w:numId="12">
    <w:abstractNumId w:val="19"/>
  </w:num>
  <w:num w:numId="13">
    <w:abstractNumId w:val="18"/>
  </w:num>
  <w:num w:numId="14">
    <w:abstractNumId w:val="4"/>
  </w:num>
  <w:num w:numId="15">
    <w:abstractNumId w:val="1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9"/>
  </w:num>
  <w:num w:numId="19">
    <w:abstractNumId w:val="3"/>
  </w:num>
  <w:num w:numId="20">
    <w:abstractNumId w:val="22"/>
  </w:num>
  <w:num w:numId="21">
    <w:abstractNumId w:val="11"/>
  </w:num>
  <w:num w:numId="22">
    <w:abstractNumId w:val="6"/>
  </w:num>
  <w:num w:numId="23">
    <w:abstractNumId w:val="5"/>
  </w:num>
  <w:num w:numId="24">
    <w:abstractNumId w:val="2"/>
  </w:num>
  <w:num w:numId="25">
    <w:abstractNumId w:val="32"/>
  </w:num>
  <w:num w:numId="26">
    <w:abstractNumId w:val="40"/>
  </w:num>
  <w:num w:numId="27">
    <w:abstractNumId w:val="9"/>
  </w:num>
  <w:num w:numId="28">
    <w:abstractNumId w:val="8"/>
  </w:num>
  <w:num w:numId="29">
    <w:abstractNumId w:val="28"/>
  </w:num>
  <w:num w:numId="30">
    <w:abstractNumId w:val="14"/>
  </w:num>
  <w:num w:numId="31">
    <w:abstractNumId w:val="37"/>
  </w:num>
  <w:num w:numId="32">
    <w:abstractNumId w:val="7"/>
  </w:num>
  <w:num w:numId="33">
    <w:abstractNumId w:val="27"/>
  </w:num>
  <w:num w:numId="34">
    <w:abstractNumId w:val="13"/>
  </w:num>
  <w:num w:numId="35">
    <w:abstractNumId w:val="39"/>
  </w:num>
  <w:num w:numId="36">
    <w:abstractNumId w:val="24"/>
  </w:num>
  <w:num w:numId="37">
    <w:abstractNumId w:val="21"/>
  </w:num>
  <w:num w:numId="38">
    <w:abstractNumId w:val="33"/>
  </w:num>
  <w:num w:numId="39">
    <w:abstractNumId w:val="38"/>
  </w:num>
  <w:num w:numId="40">
    <w:abstractNumId w:val="23"/>
  </w:num>
  <w:num w:numId="41">
    <w:abstractNumId w:val="3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572FB"/>
    <w:rsid w:val="00175213"/>
    <w:rsid w:val="001814FF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93472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008A5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F0792"/>
    <w:rsid w:val="00917314"/>
    <w:rsid w:val="00933593"/>
    <w:rsid w:val="009375AA"/>
    <w:rsid w:val="009656E1"/>
    <w:rsid w:val="00982EEF"/>
    <w:rsid w:val="0099073D"/>
    <w:rsid w:val="009F0CA4"/>
    <w:rsid w:val="00A623D7"/>
    <w:rsid w:val="00A76443"/>
    <w:rsid w:val="00A944CF"/>
    <w:rsid w:val="00AA5032"/>
    <w:rsid w:val="00AB285B"/>
    <w:rsid w:val="00AE49AA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qe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qe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4D4F-963B-4459-9555-2C880838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91</cp:revision>
  <dcterms:created xsi:type="dcterms:W3CDTF">2019-07-31T10:11:00Z</dcterms:created>
  <dcterms:modified xsi:type="dcterms:W3CDTF">2020-01-31T07:10:00Z</dcterms:modified>
</cp:coreProperties>
</file>